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4E76E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АНАЛИТИЧЕСКАЯ СПРАВКА </w:t>
      </w:r>
    </w:p>
    <w:p>
      <w:pPr>
        <w:pStyle w:val="P1"/>
        <w:widowControl w:val="1"/>
        <w:tabs>
          <w:tab w:val="left" w:pos="10320" w:leader="underscore"/>
        </w:tabs>
        <w:rPr>
          <w:rStyle w:val="C3"/>
          <w:b w:val="1"/>
          <w:sz w:val="28"/>
        </w:rPr>
      </w:pPr>
      <w:r>
        <w:rPr>
          <w:b w:val="1"/>
          <w:sz w:val="28"/>
        </w:rPr>
        <w:t xml:space="preserve">по результатам </w:t>
      </w:r>
      <w:r>
        <w:rPr>
          <w:rStyle w:val="C3"/>
          <w:b w:val="1"/>
          <w:sz w:val="28"/>
        </w:rPr>
        <w:t>социально-психологического тестирования</w:t>
      </w:r>
    </w:p>
    <w:p>
      <w:pPr>
        <w:pStyle w:val="P1"/>
        <w:widowControl w:val="1"/>
        <w:tabs>
          <w:tab w:val="left" w:pos="10320" w:leader="underscore"/>
        </w:tabs>
        <w:rPr>
          <w:rStyle w:val="C3"/>
          <w:b w:val="1"/>
          <w:sz w:val="28"/>
        </w:rPr>
      </w:pPr>
      <w:r>
        <w:rPr>
          <w:rStyle w:val="C3"/>
          <w:b w:val="1"/>
          <w:sz w:val="28"/>
        </w:rPr>
        <w:t xml:space="preserve"> обучающихся 7-11 классов МО</w:t>
      </w:r>
      <w:r>
        <w:rPr>
          <w:rStyle w:val="C3"/>
          <w:b w:val="1"/>
          <w:sz w:val="28"/>
        </w:rPr>
        <w:t xml:space="preserve">У Купанская СШ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</w:t>
      </w:r>
      <w:r>
        <w:rPr>
          <w:rFonts w:ascii="Times New Roman" w:hAnsi="Times New Roman"/>
          <w:sz w:val="28"/>
        </w:rPr>
        <w:t xml:space="preserve">: выявление вероятности вовлечения обучающихся 7-11 классов в зависимое поведение на основе соотношения факторов риска и факторов </w:t>
      </w:r>
      <w:r>
        <w:rPr>
          <w:rStyle w:val="C3"/>
          <w:sz w:val="28"/>
        </w:rPr>
        <w:t>защиты.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Методика</w:t>
      </w:r>
      <w:r>
        <w:rPr>
          <w:rFonts w:ascii="Times New Roman" w:hAnsi="Times New Roman"/>
          <w:sz w:val="28"/>
        </w:rPr>
        <w:t>: социально-психологическое тестирование 2023 (СПТ)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Дата</w:t>
      </w:r>
      <w:r>
        <w:rPr>
          <w:rFonts w:ascii="Times New Roman" w:hAnsi="Times New Roman"/>
          <w:sz w:val="28"/>
        </w:rPr>
        <w:t>: 15.09 - 1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.10.2023г.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Обследование проводилось анонимно с письменного согласия обучающихся или их родителей.</w:t>
      </w:r>
    </w:p>
    <w:p>
      <w:pPr>
        <w:tabs>
          <w:tab w:val="left" w:pos="9355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Социально-психологическое тестирование — это психодиагностическое обследование, позволяющее выявлять исключительно социально-психологические факторы риска возможного вовлечения в зависимое поведение, связанные с дефицитом ресурсов психологической устойчивости личности. Социально-психологическое тестирование не выявляет факта незаконного потребления НС и ПВ. 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обследовании приняло участие </w:t>
      </w:r>
      <w:r>
        <w:rPr>
          <w:rFonts w:ascii="Times New Roman" w:hAnsi="Times New Roman"/>
          <w:sz w:val="28"/>
        </w:rPr>
        <w:t>55</w:t>
      </w:r>
      <w:r>
        <w:rPr>
          <w:rFonts w:ascii="Times New Roman" w:hAnsi="Times New Roman"/>
          <w:sz w:val="28"/>
        </w:rPr>
        <w:t xml:space="preserve"> обучающихся, подлежащих социально-психологическому тестированию. 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Распределение результатов по группам риска</w:t>
      </w:r>
    </w:p>
    <w:tbl>
      <w:tblPr>
        <w:tblStyle w:val="T2"/>
        <w:tblW w:w="0" w:type="auto"/>
        <w:tblLook w:val="04A0"/>
      </w:tblPr>
      <w:tblGrid/>
      <w:tr>
        <w:trPr>
          <w:gridAfter w:val="0"/>
        </w:trPr>
        <w:tc>
          <w:tcPr>
            <w:tcW w:w="6347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Критерий</w:t>
            </w:r>
          </w:p>
        </w:tc>
        <w:tc>
          <w:tcPr>
            <w:tcW w:w="1878" w:type="dxa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212529"/>
                <w:sz w:val="28"/>
              </w:rPr>
            </w:pPr>
            <w:r>
              <w:rPr>
                <w:rFonts w:ascii="Times New Roman" w:hAnsi="Times New Roman"/>
                <w:color w:val="212529"/>
                <w:sz w:val="28"/>
              </w:rPr>
              <w:t>Количество обучающихся</w:t>
            </w:r>
          </w:p>
        </w:tc>
      </w:tr>
      <w:tr>
        <w:trPr>
          <w:gridAfter w:val="0"/>
          <w:trHeight w:hRule="atLeast" w:val="585"/>
        </w:trPr>
        <w:tc>
          <w:tcPr>
            <w:tcW w:w="0" w:type="auto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212529"/>
                <w:sz w:val="28"/>
              </w:rPr>
            </w:pPr>
            <w:r>
              <w:rPr>
                <w:rFonts w:ascii="Times New Roman" w:hAnsi="Times New Roman"/>
                <w:color w:val="212529"/>
                <w:sz w:val="28"/>
              </w:rPr>
              <w:t>0-группа риска</w:t>
            </w:r>
          </w:p>
        </w:tc>
        <w:tc>
          <w:tcPr>
            <w:tcW w:w="0" w:type="auto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212529"/>
                <w:sz w:val="28"/>
              </w:rPr>
            </w:pPr>
            <w:r>
              <w:rPr>
                <w:rFonts w:ascii="Times New Roman" w:hAnsi="Times New Roman"/>
                <w:color w:val="212529"/>
                <w:sz w:val="28"/>
              </w:rPr>
              <w:t>41</w:t>
            </w:r>
          </w:p>
        </w:tc>
      </w:tr>
      <w:tr>
        <w:trPr>
          <w:gridAfter w:val="0"/>
          <w:trHeight w:hRule="atLeast" w:val="585"/>
        </w:trPr>
        <w:tc>
          <w:tcPr>
            <w:tcW w:w="0" w:type="auto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212529"/>
                <w:sz w:val="28"/>
              </w:rPr>
            </w:pPr>
            <w:r>
              <w:rPr>
                <w:rFonts w:ascii="Times New Roman" w:hAnsi="Times New Roman"/>
                <w:color w:val="212529"/>
                <w:sz w:val="28"/>
              </w:rPr>
              <w:t>1-группа риска</w:t>
            </w:r>
          </w:p>
        </w:tc>
        <w:tc>
          <w:tcPr>
            <w:tcW w:w="0" w:type="auto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212529"/>
                <w:sz w:val="28"/>
              </w:rPr>
            </w:pPr>
            <w:r>
              <w:rPr>
                <w:rFonts w:ascii="Times New Roman" w:hAnsi="Times New Roman"/>
                <w:color w:val="212529"/>
                <w:sz w:val="28"/>
              </w:rPr>
              <w:t>4</w:t>
            </w:r>
          </w:p>
        </w:tc>
      </w:tr>
      <w:tr>
        <w:trPr>
          <w:gridAfter w:val="0"/>
          <w:trHeight w:hRule="atLeast" w:val="585"/>
        </w:trPr>
        <w:tc>
          <w:tcPr>
            <w:tcW w:w="0" w:type="auto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212529"/>
                <w:sz w:val="28"/>
              </w:rPr>
            </w:pPr>
            <w:r>
              <w:rPr>
                <w:rFonts w:ascii="Times New Roman" w:hAnsi="Times New Roman"/>
                <w:color w:val="212529"/>
                <w:sz w:val="28"/>
              </w:rPr>
              <w:t>2-группа рис</w:t>
            </w:r>
            <w:r>
              <w:rPr>
                <w:rFonts w:ascii="Times New Roman" w:hAnsi="Times New Roman"/>
                <w:color w:val="212529"/>
                <w:sz w:val="28"/>
              </w:rPr>
              <w:t>ка</w:t>
            </w:r>
          </w:p>
        </w:tc>
        <w:tc>
          <w:tcPr>
            <w:tcW w:w="0" w:type="auto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212529"/>
                <w:sz w:val="28"/>
              </w:rPr>
            </w:pPr>
            <w:r>
              <w:rPr>
                <w:rFonts w:ascii="Times New Roman" w:hAnsi="Times New Roman"/>
                <w:color w:val="212529"/>
                <w:sz w:val="28"/>
              </w:rPr>
              <w:t>6</w:t>
            </w:r>
          </w:p>
        </w:tc>
      </w:tr>
      <w:tr>
        <w:trPr>
          <w:gridAfter w:val="0"/>
          <w:trHeight w:hRule="atLeast" w:val="585"/>
        </w:trPr>
        <w:tc>
          <w:tcPr>
            <w:tcW w:w="0" w:type="auto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212529"/>
                <w:sz w:val="28"/>
              </w:rPr>
            </w:pPr>
            <w:r>
              <w:rPr>
                <w:rFonts w:ascii="Times New Roman" w:hAnsi="Times New Roman"/>
                <w:color w:val="212529"/>
                <w:sz w:val="28"/>
              </w:rPr>
              <w:t>3-группа риска</w:t>
            </w:r>
          </w:p>
        </w:tc>
        <w:tc>
          <w:tcPr>
            <w:tcW w:w="0" w:type="auto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212529"/>
                <w:sz w:val="28"/>
              </w:rPr>
            </w:pPr>
            <w:r>
              <w:rPr>
                <w:rFonts w:ascii="Times New Roman" w:hAnsi="Times New Roman"/>
                <w:color w:val="212529"/>
                <w:sz w:val="28"/>
              </w:rPr>
              <w:t>4</w:t>
            </w:r>
          </w:p>
        </w:tc>
      </w:tr>
    </w:tbl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Структура группы риска по классам и параллелям (СПТ-23)</w:t>
      </w:r>
    </w:p>
    <w:p>
      <w:pPr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b w:val="1"/>
          <w:sz w:val="28"/>
        </w:rPr>
      </w:pPr>
    </w:p>
    <w:tbl>
      <w:tblPr>
        <w:tblStyle w:val="T2"/>
        <w:tblW w:w="9464" w:type="dxa"/>
        <w:tblLayout w:type="fixed"/>
        <w:tblLook w:val="04A0"/>
      </w:tblPr>
      <w:tblGrid/>
      <w:tr>
        <w:trPr>
          <w:gridAfter w:val="0"/>
        </w:trPr>
        <w:tc>
          <w:tcPr>
            <w:tcW w:w="846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</w:t>
            </w:r>
          </w:p>
        </w:tc>
        <w:tc>
          <w:tcPr>
            <w:tcW w:w="2097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12529"/>
                <w:sz w:val="28"/>
              </w:rPr>
              <w:t xml:space="preserve">Высочайшая  вероятность проявления РП</w:t>
            </w:r>
          </w:p>
        </w:tc>
        <w:tc>
          <w:tcPr>
            <w:tcW w:w="2203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212529"/>
                <w:sz w:val="28"/>
              </w:rPr>
            </w:pPr>
            <w:r>
              <w:rPr>
                <w:rFonts w:ascii="Times New Roman" w:hAnsi="Times New Roman"/>
                <w:color w:val="212529"/>
                <w:sz w:val="28"/>
              </w:rPr>
              <w:t>Высокая вероятность проявлений РП</w:t>
            </w:r>
          </w:p>
        </w:tc>
        <w:tc>
          <w:tcPr>
            <w:tcW w:w="3042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212529"/>
                <w:sz w:val="28"/>
              </w:rPr>
            </w:pPr>
            <w:r>
              <w:rPr>
                <w:rFonts w:ascii="Times New Roman" w:hAnsi="Times New Roman"/>
                <w:color w:val="212529"/>
                <w:sz w:val="28"/>
              </w:rPr>
              <w:t>3</w:t>
            </w:r>
            <w:r>
              <w:rPr>
                <w:rFonts w:ascii="Times New Roman" w:hAnsi="Times New Roman"/>
                <w:color w:val="212529"/>
                <w:sz w:val="28"/>
              </w:rPr>
              <w:t>-</w:t>
            </w:r>
            <w:r>
              <w:rPr>
                <w:rFonts w:ascii="Times New Roman" w:hAnsi="Times New Roman"/>
                <w:color w:val="212529"/>
                <w:sz w:val="28"/>
              </w:rPr>
              <w:t>Группа риска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212529"/>
                <w:sz w:val="28"/>
              </w:rPr>
            </w:pPr>
          </w:p>
        </w:tc>
      </w:tr>
      <w:tr>
        <w:trPr>
          <w:gridAfter w:val="0"/>
        </w:trPr>
        <w:tc>
          <w:tcPr>
            <w:tcW w:w="846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097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03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42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rPr>
          <w:gridAfter w:val="0"/>
        </w:trPr>
        <w:tc>
          <w:tcPr>
            <w:tcW w:w="846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2097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203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42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rPr>
          <w:gridAfter w:val="0"/>
        </w:trPr>
        <w:tc>
          <w:tcPr>
            <w:tcW w:w="846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2097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203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42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rPr>
          <w:gridAfter w:val="0"/>
        </w:trPr>
        <w:tc>
          <w:tcPr>
            <w:tcW w:w="846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2097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03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42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rPr>
          <w:gridAfter w:val="0"/>
        </w:trPr>
        <w:tc>
          <w:tcPr>
            <w:tcW w:w="846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2097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203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42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</w:tbl>
    <w:p>
      <w:pPr>
        <w:spacing w:lineRule="auto" w:line="240" w:after="0" w:beforeAutospacing="0" w:afterAutospacing="0"/>
        <w:ind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Заключение. </w:t>
      </w:r>
      <w:r>
        <w:rPr>
          <w:rFonts w:ascii="Times New Roman" w:hAnsi="Times New Roman"/>
          <w:sz w:val="28"/>
        </w:rPr>
        <w:t xml:space="preserve">Наибольшее количество обучающихся, находящихся в группе риска, обучается в </w:t>
      </w:r>
      <w:r>
        <w:rPr>
          <w:rFonts w:ascii="Times New Roman" w:hAnsi="Times New Roman"/>
          <w:sz w:val="28"/>
        </w:rPr>
        <w:t xml:space="preserve">9 </w:t>
      </w:r>
      <w:r>
        <w:rPr>
          <w:rFonts w:ascii="Times New Roman" w:hAnsi="Times New Roman"/>
          <w:sz w:val="28"/>
        </w:rPr>
        <w:t xml:space="preserve">классах. 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7 классах преобладающими факторами риска являются недостаточное критическое мышление и как следствие </w:t>
      </w:r>
      <w:r>
        <w:rPr>
          <w:rFonts w:ascii="Times New Roman" w:hAnsi="Times New Roman"/>
          <w:b w:val="1"/>
          <w:sz w:val="28"/>
        </w:rPr>
        <w:t xml:space="preserve">склонность к риску, </w:t>
      </w:r>
      <w:r>
        <w:rPr>
          <w:rFonts w:ascii="Times New Roman" w:hAnsi="Times New Roman"/>
          <w:sz w:val="28"/>
        </w:rPr>
        <w:t xml:space="preserve"> потребность во </w:t>
      </w:r>
      <w:r>
        <w:rPr>
          <w:rFonts w:ascii="Times New Roman" w:hAnsi="Times New Roman"/>
          <w:b w:val="1"/>
          <w:sz w:val="28"/>
        </w:rPr>
        <w:t>внимании группы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b w:val="1"/>
          <w:sz w:val="28"/>
        </w:rPr>
        <w:t>плохая приспосабливаемость</w:t>
      </w:r>
      <w:r>
        <w:rPr>
          <w:rFonts w:ascii="Times New Roman" w:hAnsi="Times New Roman"/>
          <w:sz w:val="28"/>
        </w:rPr>
        <w:t xml:space="preserve"> (потребность в положительной оценке себя, зависимость от значимых людей - ведомость), высокий уровень </w:t>
      </w:r>
      <w:r>
        <w:rPr>
          <w:rFonts w:ascii="Times New Roman" w:hAnsi="Times New Roman"/>
          <w:b w:val="1"/>
          <w:sz w:val="28"/>
        </w:rPr>
        <w:t>тревожности</w:t>
      </w:r>
      <w:r>
        <w:rPr>
          <w:rFonts w:ascii="Times New Roman" w:hAnsi="Times New Roman"/>
          <w:sz w:val="28"/>
        </w:rPr>
        <w:t xml:space="preserve">.  Недостаточные </w:t>
      </w:r>
      <w:r>
        <w:rPr>
          <w:rFonts w:ascii="Times New Roman" w:hAnsi="Times New Roman"/>
          <w:b w:val="1"/>
          <w:sz w:val="28"/>
        </w:rPr>
        <w:t>факторы защиты</w:t>
      </w:r>
      <w:r>
        <w:rPr>
          <w:rFonts w:ascii="Times New Roman" w:hAnsi="Times New Roman"/>
          <w:sz w:val="28"/>
        </w:rPr>
        <w:t xml:space="preserve">: принятие одноклассниками, слабый самоконтроль поведения,  низкая социальная активность и низкая фрустрационная устойчивость.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8 классах – </w:t>
      </w:r>
      <w:r>
        <w:rPr>
          <w:rFonts w:ascii="Times New Roman" w:hAnsi="Times New Roman"/>
          <w:b w:val="1"/>
          <w:sz w:val="28"/>
        </w:rPr>
        <w:t>факторы риска</w:t>
      </w:r>
      <w:r>
        <w:rPr>
          <w:rFonts w:ascii="Times New Roman" w:hAnsi="Times New Roman"/>
          <w:sz w:val="28"/>
        </w:rPr>
        <w:t xml:space="preserve">: высокая тревожность, потребность в внимании группы, склонность к риску и принятие асоциальных установок. Недостаточные </w:t>
      </w:r>
      <w:r>
        <w:rPr>
          <w:rFonts w:ascii="Times New Roman" w:hAnsi="Times New Roman"/>
          <w:b w:val="1"/>
          <w:sz w:val="28"/>
        </w:rPr>
        <w:t>факторы защиты</w:t>
      </w:r>
      <w:r>
        <w:rPr>
          <w:rFonts w:ascii="Times New Roman" w:hAnsi="Times New Roman"/>
          <w:sz w:val="28"/>
        </w:rPr>
        <w:t xml:space="preserve">: принятие родителями и одноклассниками.   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9 классах – преобладают факторы риска как плохая приспосабливаемость и тревожность и сниженность большинства факторов защиты!!! (принятие родителями!, фрустрационная устойчивость, принятие одноклассниками, низкий самоконтроль поведения, низкая адаптированность к нормам).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10-11 классах обучающиеся входят в «группу риска» по преобладанию </w:t>
      </w:r>
      <w:r>
        <w:rPr>
          <w:rFonts w:ascii="Times New Roman" w:hAnsi="Times New Roman"/>
          <w:b w:val="1"/>
          <w:sz w:val="28"/>
        </w:rPr>
        <w:t>ВСЕХ факторов риска</w:t>
      </w:r>
      <w:r>
        <w:rPr>
          <w:rFonts w:ascii="Times New Roman" w:hAnsi="Times New Roman"/>
          <w:sz w:val="28"/>
        </w:rPr>
        <w:t xml:space="preserve">: потребность во внимании группы, импульсивность, принятие асоциальных установок, склонность к  риску, делинквентности, тревожность и фрустрированность. Недостаточные </w:t>
      </w:r>
      <w:r>
        <w:rPr>
          <w:rFonts w:ascii="Times New Roman" w:hAnsi="Times New Roman"/>
          <w:b w:val="1"/>
          <w:sz w:val="28"/>
        </w:rPr>
        <w:t>факторы защиты</w:t>
      </w:r>
      <w:r>
        <w:rPr>
          <w:rFonts w:ascii="Times New Roman" w:hAnsi="Times New Roman"/>
          <w:sz w:val="28"/>
        </w:rPr>
        <w:t>: принятие одноклассниками, социальная активность и самоэффективность.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полученными результатами является целесообразным довести до сведения педагогов, администрации полученные результаты, а также до законных представителей учащихся.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является целесообразным организовать проведение ряда мероприятий с учащимися </w:t>
      </w:r>
      <w:r>
        <w:rPr>
          <w:rFonts w:ascii="Times New Roman" w:hAnsi="Times New Roman"/>
          <w:sz w:val="28"/>
        </w:rPr>
        <w:t xml:space="preserve"> (явная группа риска -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чел) и психопрофилактических занятий с учащимися с высоким риском (в индивидуальной и групповой формах). </w:t>
      </w:r>
    </w:p>
    <w:p>
      <w:pPr>
        <w:tabs>
          <w:tab w:val="left" w:pos="9355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Профилактические мероприятия (психологического плана) с классами, в которых отмечено большое кол-во учащихся ГР</w:t>
      </w:r>
      <w:r>
        <w:rPr>
          <w:rFonts w:ascii="Times New Roman" w:hAnsi="Times New Roman"/>
          <w:color w:val="000000"/>
          <w:sz w:val="28"/>
        </w:rPr>
        <w:t>.</w:t>
      </w:r>
    </w:p>
    <w:p>
      <w:pPr>
        <w:pStyle w:val="P2"/>
        <w:numPr>
          <w:ilvl w:val="0"/>
          <w:numId w:val="1"/>
        </w:numPr>
        <w:tabs>
          <w:tab w:val="left" w:pos="9355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формирование у обучающихся личностных качеств, необходимых для конструктивного, успешного и ответственного поведения в обществе (критическое мышление, принятие ценностных установок положительного характера); </w:t>
      </w:r>
    </w:p>
    <w:p>
      <w:pPr>
        <w:pStyle w:val="P2"/>
        <w:numPr>
          <w:ilvl w:val="0"/>
          <w:numId w:val="1"/>
        </w:numPr>
        <w:tabs>
          <w:tab w:val="left" w:pos="9355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развитие стрессоустойчивости и навыков совладания со стрессом;  развитие навыков саморегуляции и снижению тревожности; </w:t>
      </w:r>
    </w:p>
    <w:p>
      <w:pPr>
        <w:pStyle w:val="P2"/>
        <w:numPr>
          <w:ilvl w:val="0"/>
          <w:numId w:val="1"/>
        </w:numPr>
        <w:tabs>
          <w:tab w:val="left" w:pos="9355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принятия решений, обращения за социальной поддержкой, избегания опасных ситуаций.</w:t>
      </w:r>
    </w:p>
    <w:p>
      <w:pPr>
        <w:spacing w:lineRule="auto" w:line="240" w:after="0" w:beforeAutospacing="0" w:afterAutospacing="0"/>
        <w:ind w:firstLine="36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учащимися с высокой тревожностью, низкой фрустрационной устойчивостью педагогу-психологу рекомендуется проводить индивидуальные и /или групповые занятия, в т.ч. углубленную диагностику ЭЛС (эмоционально-личностной сферы).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Рекомендации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(см. приложение):</w:t>
      </w:r>
    </w:p>
    <w:p>
      <w:pPr>
        <w:pStyle w:val="P2"/>
        <w:numPr>
          <w:ilvl w:val="0"/>
          <w:numId w:val="2"/>
        </w:num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учащимися с высоким риском (склонным к делинквентности, к риску, принятию асоциальных установок) провести индивидуальную работу по формированию законопослушного поведения, корректировке ценностной системы, развитию критического мышления (оценка последствий, принятие ответственности и т.п.)</w:t>
      </w:r>
    </w:p>
    <w:p>
      <w:pPr>
        <w:pStyle w:val="P2"/>
        <w:numPr>
          <w:ilvl w:val="0"/>
          <w:numId w:val="2"/>
        </w:num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классах с большим количеством учащихся с высоким риском провести интерактивные занятия (с привлечением специалистов УСП), направленные на формирование законопослушного поведения, по формированию ЗОЖ, профилактике деструктивного поведения.</w:t>
      </w:r>
    </w:p>
    <w:p>
      <w:pPr>
        <w:pStyle w:val="P2"/>
        <w:numPr>
          <w:ilvl w:val="0"/>
          <w:numId w:val="2"/>
        </w:num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течение учебного года организовать работу по вовлечению учащихся ГР  в досуговую деятельность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Рекомендации классным руководителям (см. прил.):</w:t>
      </w:r>
    </w:p>
    <w:p>
      <w:pPr>
        <w:pStyle w:val="P2"/>
        <w:numPr>
          <w:ilvl w:val="0"/>
          <w:numId w:val="3"/>
        </w:num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Организовать проведение родительского собрания с приглашением узких специалистов (психолог, соц. педагог) с целью информирования о факторах риска и повышению факторов защиты в детско-родительских отношениях.</w:t>
      </w:r>
    </w:p>
    <w:p>
      <w:pPr>
        <w:pStyle w:val="P2"/>
        <w:numPr>
          <w:ilvl w:val="0"/>
          <w:numId w:val="3"/>
        </w:num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внимание в работе с классом на построении благоприятных конструктивных отношений, сплочению и созданию комфортного психологического климата.</w:t>
      </w:r>
    </w:p>
    <w:p>
      <w:pPr>
        <w:pStyle w:val="P2"/>
        <w:numPr>
          <w:ilvl w:val="0"/>
          <w:numId w:val="3"/>
        </w:num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течение учебного года организовать работу по вовлечению учащихся ГР  в досуговую деятельность</w:t>
      </w:r>
    </w:p>
    <w:p>
      <w:pPr>
        <w:pStyle w:val="P2"/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Педагог-психолог:</w:t>
      </w:r>
      <w:r>
        <w:rPr>
          <w:rFonts w:ascii="Times New Roman" w:hAnsi="Times New Roman"/>
          <w:sz w:val="28"/>
        </w:rPr>
        <w:t xml:space="preserve"> Нестерова П.А</w:t>
      </w:r>
      <w:r>
        <w:rPr>
          <w:rFonts w:ascii="Times New Roman" w:hAnsi="Times New Roman"/>
          <w:sz w:val="28"/>
        </w:rPr>
        <w:t>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8"/>
        </w:rPr>
      </w:pPr>
      <w:bookmarkStart w:id="0" w:name="_GoBack"/>
      <w:bookmarkEnd w:id="0"/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Рекомендации специалистам ОО по работе с классами с обучающимися с ГР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tbl>
      <w:tblPr>
        <w:tblStyle w:val="T2"/>
        <w:tblW w:w="0" w:type="auto"/>
        <w:tblLook w:val="04A0"/>
      </w:tblPr>
      <w:tblGrid/>
      <w:tr>
        <w:tc>
          <w:tcPr>
            <w:tcW w:w="2077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Группы обучающихся с повышенной вероятностью вовлечения</w:t>
            </w:r>
          </w:p>
        </w:tc>
        <w:tc>
          <w:tcPr>
            <w:tcW w:w="2124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Задачи</w:t>
              <w:br w:type="textWrapping"/>
              <w:t>профилактической</w:t>
              <w:br w:type="textWrapping"/>
              <w:t>работы</w:t>
              <w:br w:type="textWrapping"/>
            </w:r>
          </w:p>
        </w:tc>
        <w:tc>
          <w:tcPr>
            <w:tcW w:w="190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Соц. педагог</w:t>
            </w:r>
          </w:p>
        </w:tc>
        <w:tc>
          <w:tcPr>
            <w:tcW w:w="2057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Педагог-психолог</w:t>
            </w:r>
          </w:p>
        </w:tc>
        <w:tc>
          <w:tcPr>
            <w:tcW w:w="169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Классный руководи- тель</w:t>
            </w:r>
          </w:p>
        </w:tc>
      </w:tr>
      <w:tr>
        <w:tc>
          <w:tcPr>
            <w:tcW w:w="2077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Группа No1</w:t>
              <w:br w:type="textWrapping"/>
            </w:r>
            <w:r>
              <w:rPr>
                <w:rFonts w:ascii="Times New Roman" w:hAnsi="Times New Roman"/>
                <w:b w:val="1"/>
                <w:sz w:val="28"/>
              </w:rPr>
              <w:t>ФР – высокий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124" w:type="dxa"/>
            <w:vMerge w:val="restart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Освоение навыков</w:t>
              <w:br w:type="textWrapping"/>
              <w:t>преодоления</w:t>
              <w:br w:type="textWrapping"/>
              <w:t>трудных жизненных</w:t>
              <w:br w:type="textWrapping"/>
              <w:t>ситуаций</w:t>
              <w:br w:type="textWrapping"/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Снижение</w:t>
              <w:br w:type="textWrapping"/>
              <w:t>импульсивности,</w:t>
              <w:br w:type="textWrapping"/>
              <w:t>обучение навыкам</w:t>
              <w:br w:type="textWrapping"/>
              <w:t>оценки риска Обучение копинг-</w:t>
              <w:br w:type="textWrapping"/>
              <w:t>стратегиям</w:t>
              <w:br w:type="textWrapping"/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по</w:t>
              <w:br w:type="textWrapping"/>
              <w:t>изменению</w:t>
              <w:br w:type="textWrapping"/>
              <w:t>социальной</w:t>
              <w:br w:type="textWrapping"/>
              <w:t>ситуации развития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Снижение тревожности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ситуации успеха</w:t>
              <w:br w:type="textWrapping"/>
            </w:r>
          </w:p>
        </w:tc>
        <w:tc>
          <w:tcPr>
            <w:tcW w:w="1900" w:type="dxa"/>
            <w:vMerge w:val="restart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правового характера;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по формированию ЗОЖ, профилактике деструктивного поведения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Вовлечение в досуговую деятельность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с соц.паспортом класса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социальных конкурсов (по ЗОЖ)</w:t>
            </w:r>
          </w:p>
        </w:tc>
        <w:tc>
          <w:tcPr>
            <w:tcW w:w="2057" w:type="dxa"/>
            <w:vMerge w:val="restart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Занятия по развитию жизнестойкости, критическому мышлению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Родительские собрания профилактического плана</w:t>
            </w:r>
          </w:p>
        </w:tc>
        <w:tc>
          <w:tcPr>
            <w:tcW w:w="1696" w:type="dxa"/>
            <w:vMerge w:val="restart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Вовлечение в досуговую деятельность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Создание ситуации успеха в классе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по формированию ЗОЖ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с родителями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2077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ФР: потребность во внимании группы,</w:t>
              <w:br w:type="textWrapping"/>
              <w:t xml:space="preserve">принятие асоциальных  установок социума,</w:t>
              <w:br w:type="textWrapping"/>
              <w:t>склонность к делинквентности.</w:t>
              <w:br w:type="textWrapping"/>
            </w:r>
          </w:p>
        </w:tc>
        <w:tc>
          <w:tcPr>
            <w:tcW w:w="2124" w:type="dxa"/>
            <w:vMerge w:val="continue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900" w:type="dxa"/>
            <w:vMerge w:val="continue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057" w:type="dxa"/>
            <w:vMerge w:val="continue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696" w:type="dxa"/>
            <w:vMerge w:val="continue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2077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ФР: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склонность к риску,</w:t>
              <w:br w:type="textWrapping"/>
              <w:t>импульсивность,</w:t>
              <w:br w:type="textWrapping"/>
              <w:t>тревожность,</w:t>
              <w:br w:type="textWrapping"/>
              <w:t>фрустрация, фрустрационная устойчивость</w:t>
              <w:br w:type="textWrapping"/>
              <w:br w:type="textWrapping"/>
            </w:r>
          </w:p>
        </w:tc>
        <w:tc>
          <w:tcPr>
            <w:tcW w:w="2124" w:type="dxa"/>
            <w:vMerge w:val="continue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90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правового характера (об ответственности);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по развитию способности оценивать свои поступки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057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Занятия по развитию критического мышления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Занятия (тренинги) по управлению негативными эмоциями</w:t>
            </w:r>
          </w:p>
        </w:tc>
        <w:tc>
          <w:tcPr>
            <w:tcW w:w="169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Педагогическая поддержка</w:t>
            </w:r>
          </w:p>
        </w:tc>
      </w:tr>
      <w:tr>
        <w:tc>
          <w:tcPr>
            <w:tcW w:w="9854" w:type="dxa"/>
            <w:gridSpan w:val="5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Редукция факторов</w:t>
              <w:br w:type="textWrapping"/>
              <w:t xml:space="preserve">защиты (низкие показатели) </w:t>
            </w:r>
          </w:p>
        </w:tc>
      </w:tr>
      <w:tr>
        <w:tc>
          <w:tcPr>
            <w:tcW w:w="2077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Группа No2 – низкие ФЗ</w:t>
              <w:br w:type="textWrapping"/>
            </w:r>
          </w:p>
        </w:tc>
        <w:tc>
          <w:tcPr>
            <w:tcW w:w="2124" w:type="dxa"/>
            <w:vMerge w:val="restart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Актуализация</w:t>
              <w:br w:type="textWrapping"/>
              <w:t>ресурсных</w:t>
              <w:br w:type="textWrapping"/>
              <w:t>возможностей</w:t>
              <w:br w:type="textWrapping"/>
              <w:t>факторов защиты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br w:type="textWrapping"/>
              <w:t>Сплочение классного коллектива</w:t>
              <w:br w:type="textWrapping"/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Формирование</w:t>
              <w:br w:type="textWrapping"/>
              <w:t>культуры и мотивации достижений,</w:t>
              <w:br w:type="textWrapping"/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пространства самовыражения и ситуаций успеха</w:t>
              <w:br w:type="textWrapping"/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Обучение</w:t>
              <w:br w:type="textWrapping"/>
              <w:t>самопрезентации</w:t>
              <w:br w:type="textWrapping"/>
            </w:r>
          </w:p>
        </w:tc>
        <w:tc>
          <w:tcPr>
            <w:tcW w:w="1900" w:type="dxa"/>
            <w:vMerge w:val="restart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досуговой занятости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по профилактике буллинга (правовая сторона)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включение</w:t>
              <w:br w:type="textWrapping"/>
              <w:t>подростков в</w:t>
              <w:br w:type="textWrapping"/>
              <w:t>социально</w:t>
              <w:br w:type="textWrapping"/>
              <w:t>одобряемую</w:t>
              <w:br w:type="textWrapping"/>
              <w:t>деятельность</w:t>
              <w:br w:type="textWrapping"/>
            </w:r>
          </w:p>
        </w:tc>
        <w:tc>
          <w:tcPr>
            <w:tcW w:w="2057" w:type="dxa"/>
            <w:vMerge w:val="restart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Занятия по целеполаганию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Занятия по конфликтной компетентности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Родительские собрания по эффективным детско-родительским отношениям</w:t>
            </w:r>
          </w:p>
        </w:tc>
        <w:tc>
          <w:tcPr>
            <w:tcW w:w="1696" w:type="dxa"/>
            <w:vMerge w:val="restart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по сплочению коллектива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Вовлечение в ДО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</w:t>
              <w:br w:type="textWrapping"/>
              <w:t>совместных</w:t>
              <w:br w:type="textWrapping"/>
              <w:t>мероприятий для</w:t>
              <w:br w:type="textWrapping"/>
              <w:t>родителей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меры по профилактике групповых конфликтов, буллинга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включение</w:t>
              <w:br w:type="textWrapping"/>
              <w:t>подростков в</w:t>
              <w:br w:type="textWrapping"/>
              <w:t>социально</w:t>
              <w:br w:type="textWrapping"/>
              <w:t>одобряемую</w:t>
              <w:br w:type="textWrapping"/>
              <w:t>деятельность</w:t>
              <w:br w:type="textWrapping"/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2077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ФЗ: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принятие родителями,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принятие одноклассниками,</w:t>
              <w:br w:type="textWrapping"/>
              <w:t>социальная активность,</w:t>
              <w:br w:type="textWrapping"/>
              <w:t>самоконтроль поведения,</w:t>
              <w:br w:type="textWrapping"/>
              <w:t xml:space="preserve">самоэффективность,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124" w:type="dxa"/>
            <w:vMerge w:val="continue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900" w:type="dxa"/>
            <w:vMerge w:val="continue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057" w:type="dxa"/>
            <w:vMerge w:val="continue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696" w:type="dxa"/>
            <w:vMerge w:val="continue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</w:tr>
    </w:tbl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sectPr>
      <w:type w:val="nextPage"/>
      <w:pgSz w:w="11906" w:h="16838" w:code="9"/>
      <w:pgMar w:left="1701" w:right="567" w:top="964" w:bottom="426" w:header="709" w:footer="709" w:gutter="0"/>
    </w:sectPr>
  </w:body>
</w:document>
</file>

<file path=word/numbering.xml><?xml version="1.0" encoding="utf-8"?>
<w:numbering xmlns:w="http://schemas.openxmlformats.org/wordprocessingml/2006/main">
  <w:abstractNum w:abstractNumId="0">
    <w:nsid w:val="434270A3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nsid w:val="4F5A048E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7EF258FA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200" w:beforeAutospacing="0" w:afterAutospacing="0"/>
    </w:pPr>
    <w:rPr/>
  </w:style>
  <w:style w:type="paragraph" w:styleId="P1">
    <w:name w:val="Style8"/>
    <w:basedOn w:val="P0"/>
    <w:pPr>
      <w:widowControl w:val="0"/>
      <w:spacing w:lineRule="auto" w:line="240" w:after="0" w:beforeAutospacing="0" w:afterAutospacing="0"/>
      <w:jc w:val="center"/>
    </w:pPr>
    <w:rPr>
      <w:rFonts w:ascii="Times New Roman" w:hAnsi="Times New Roman"/>
      <w:sz w:val="24"/>
    </w:rPr>
  </w:style>
  <w:style w:type="paragraph" w:styleId="P2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semiHidden/>
    <w:rPr>
      <w:color w:val="0000FF"/>
      <w:u w:val="single"/>
    </w:rPr>
  </w:style>
  <w:style w:type="character" w:styleId="C3">
    <w:name w:val="Font Style55"/>
    <w:rPr>
      <w:rFonts w:ascii="Times New Roman" w:hAnsi="Times New Roman"/>
      <w:sz w:val="2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